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Hématologie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Mr BOUDRA Abdellatif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afboudra@gmail.com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0674804965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Pav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BOUDRA  Abdellatif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BOUDRA  Abdellatif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BOUDRA  Abdellatif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BOUDRA  Abdellatif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Réaliser toutes les techniques permettant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d'assurer la sécurité transfusionnelle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Fondamentale 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Hématologie générale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Examen semestriel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TP=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[Assiduité+Participation]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[Moyennes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Examen semestriel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Biologie cellulaire,microbiologie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Physiologie,Physiopathologie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immunologie,Anatomie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Pts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Diman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Pts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Support pédagogique seulement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Microscopes optiques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huile à immersion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Lames.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Lunettes de protection( si nécessaire), masque,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gants, tablier, désinfectants, coton..  etc 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Préparation des masters et proposition des sujets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 recherches en hématologie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Assiduité et bonne assimilation du module.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Fournir l’effort nécessaire pour assurer une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bonne  assimilation du module sur le plan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théorique  et pratique par les étudiants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Stem Cell Transplantation for Hematologic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Malignancies, edited by ROBERT J. SOIFFER,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Chronic Lymphocytic Leukemia: Molecular Genetics,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Biology, Diagnosis, and Management,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 GUY B.FAGUET,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2003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https://www.em-consulte.com/artic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www.em-consulte.com/artic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